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A7FF" w14:textId="77777777" w:rsidR="00EF22E4" w:rsidRDefault="00EF22E4" w:rsidP="00EF22E4">
      <w:pPr>
        <w:pStyle w:val="SoortDocument"/>
        <w:rPr>
          <w:color w:val="1F3864" w:themeColor="accent1" w:themeShade="80"/>
        </w:rPr>
      </w:pPr>
    </w:p>
    <w:p w14:paraId="6BA2FEDA" w14:textId="77777777" w:rsidR="00EF22E4" w:rsidRDefault="00EF22E4" w:rsidP="00EF22E4">
      <w:pPr>
        <w:pStyle w:val="SoortDocument"/>
        <w:rPr>
          <w:color w:val="1F3864" w:themeColor="accent1" w:themeShade="80"/>
        </w:rPr>
      </w:pPr>
    </w:p>
    <w:p w14:paraId="181F9226" w14:textId="77777777" w:rsidR="00EF22E4" w:rsidRDefault="00EF22E4" w:rsidP="00EF22E4">
      <w:pPr>
        <w:pStyle w:val="SoortDocument"/>
        <w:rPr>
          <w:color w:val="1F3864" w:themeColor="accent1" w:themeShade="80"/>
        </w:rPr>
      </w:pPr>
    </w:p>
    <w:p w14:paraId="5CADA86B" w14:textId="77777777" w:rsidR="00EF22E4" w:rsidRDefault="00EF22E4" w:rsidP="00EF22E4">
      <w:pPr>
        <w:pStyle w:val="SoortDocument"/>
        <w:rPr>
          <w:color w:val="1F3864" w:themeColor="accent1" w:themeShade="80"/>
        </w:rPr>
      </w:pPr>
    </w:p>
    <w:p w14:paraId="100EB43B" w14:textId="77777777" w:rsidR="00EF22E4" w:rsidRDefault="00EF22E4" w:rsidP="00EF22E4">
      <w:pPr>
        <w:pStyle w:val="SoortDocument"/>
        <w:rPr>
          <w:color w:val="1F3864" w:themeColor="accent1" w:themeShade="80"/>
        </w:rPr>
      </w:pPr>
    </w:p>
    <w:p w14:paraId="690D79DF" w14:textId="77777777" w:rsidR="00EF22E4" w:rsidRDefault="00EF22E4" w:rsidP="00EF22E4">
      <w:pPr>
        <w:pStyle w:val="SoortDocument"/>
        <w:rPr>
          <w:color w:val="1F3864" w:themeColor="accent1" w:themeShade="80"/>
        </w:rPr>
      </w:pPr>
    </w:p>
    <w:p w14:paraId="11EE247A" w14:textId="77777777" w:rsidR="00EF22E4" w:rsidRDefault="00EF22E4" w:rsidP="00EF22E4">
      <w:pPr>
        <w:pStyle w:val="SoortDocument"/>
        <w:rPr>
          <w:color w:val="1F3864" w:themeColor="accent1" w:themeShade="80"/>
        </w:rPr>
      </w:pPr>
    </w:p>
    <w:p w14:paraId="50DDA407" w14:textId="79E4C597" w:rsidR="00EF22E4" w:rsidRPr="00C237D9" w:rsidRDefault="00C237D9" w:rsidP="00EF22E4">
      <w:pPr>
        <w:pStyle w:val="SoortDocument"/>
        <w:rPr>
          <w:color w:val="1F3864" w:themeColor="accent1" w:themeShade="80"/>
          <w:sz w:val="22"/>
          <w:szCs w:val="28"/>
        </w:rPr>
      </w:pPr>
      <w:r w:rsidRPr="00AD6B58">
        <w:rPr>
          <w:color w:val="1F3864" w:themeColor="accent1" w:themeShade="80"/>
          <w:sz w:val="22"/>
          <w:szCs w:val="28"/>
        </w:rPr>
        <w:t xml:space="preserve">Preliminary report </w:t>
      </w:r>
      <w:r w:rsidR="00D61A98">
        <w:rPr>
          <w:color w:val="1F3864" w:themeColor="accent1" w:themeShade="80"/>
          <w:sz w:val="22"/>
          <w:szCs w:val="28"/>
        </w:rPr>
        <w:t>for integration with</w:t>
      </w:r>
      <w:r w:rsidRPr="00AD6B58">
        <w:rPr>
          <w:color w:val="1F3864" w:themeColor="accent1" w:themeShade="80"/>
          <w:sz w:val="22"/>
          <w:szCs w:val="28"/>
        </w:rPr>
        <w:t xml:space="preserve"> evident registry</w:t>
      </w:r>
    </w:p>
    <w:p w14:paraId="1CDFC9AE" w14:textId="24CC5244" w:rsidR="002636A2" w:rsidRDefault="008234E5" w:rsidP="00EF22E4">
      <w:pPr>
        <w:pStyle w:val="SoortDocument"/>
        <w:rPr>
          <w:color w:val="1F3864" w:themeColor="accent1" w:themeShade="80"/>
        </w:rPr>
      </w:pPr>
      <w:r>
        <w:rPr>
          <w:color w:val="1F3864" w:themeColor="accent1" w:themeShade="80"/>
        </w:rPr>
        <w:t>[</w:t>
      </w:r>
      <w:r w:rsidRPr="0080179A">
        <w:rPr>
          <w:color w:val="1F3864" w:themeColor="accent1" w:themeShade="80"/>
          <w:highlight w:val="yellow"/>
        </w:rPr>
        <w:t>Name platform</w:t>
      </w:r>
      <w:r>
        <w:rPr>
          <w:color w:val="1F3864" w:themeColor="accent1" w:themeShade="80"/>
        </w:rPr>
        <w:t xml:space="preserve">] </w:t>
      </w:r>
      <w:r w:rsidR="00834A9C">
        <w:rPr>
          <w:color w:val="1F3864" w:themeColor="accent1" w:themeShade="80"/>
        </w:rPr>
        <w:t xml:space="preserve">Platform </w:t>
      </w:r>
      <w:r>
        <w:rPr>
          <w:color w:val="1F3864" w:themeColor="accent1" w:themeShade="80"/>
        </w:rPr>
        <w:t xml:space="preserve">owned by </w:t>
      </w:r>
      <w:r w:rsidR="003625EB" w:rsidRPr="003625EB">
        <w:rPr>
          <w:color w:val="1F3864" w:themeColor="accent1" w:themeShade="80"/>
          <w:highlight w:val="yellow"/>
        </w:rPr>
        <w:t>[</w:t>
      </w:r>
      <w:r w:rsidR="0080179A">
        <w:rPr>
          <w:color w:val="1F3864" w:themeColor="accent1" w:themeShade="80"/>
          <w:highlight w:val="yellow"/>
        </w:rPr>
        <w:t>legal owner platform</w:t>
      </w:r>
      <w:r w:rsidR="003625EB" w:rsidRPr="003625EB">
        <w:rPr>
          <w:color w:val="1F3864" w:themeColor="accent1" w:themeShade="80"/>
          <w:highlight w:val="yellow"/>
        </w:rPr>
        <w:t>]</w:t>
      </w:r>
    </w:p>
    <w:tbl>
      <w:tblPr>
        <w:tblW w:w="8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7377"/>
      </w:tblGrid>
      <w:tr w:rsidR="00EF22E4" w:rsidRPr="00F639BB" w14:paraId="6FC54D7B" w14:textId="77777777" w:rsidTr="00F11784">
        <w:trPr>
          <w:trHeight w:hRule="exact" w:val="621"/>
        </w:trPr>
        <w:tc>
          <w:tcPr>
            <w:tcW w:w="7823" w:type="dxa"/>
            <w:gridSpan w:val="2"/>
            <w:tcBorders>
              <w:bottom w:val="single" w:sz="4" w:space="0" w:color="7594A9"/>
            </w:tcBorders>
          </w:tcPr>
          <w:p w14:paraId="7DC737DA" w14:textId="20EE59CC" w:rsidR="00EF22E4" w:rsidRDefault="00EF22E4" w:rsidP="00F11784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</w:p>
          <w:p w14:paraId="21569A94" w14:textId="0CF70E15" w:rsidR="00EF22E4" w:rsidRDefault="00EE5F56" w:rsidP="00F11784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lang w:val="en-US"/>
              </w:rPr>
              <w:t>October</w:t>
            </w:r>
            <w:r w:rsidR="00EF22E4">
              <w:rPr>
                <w:rFonts w:asciiTheme="minorHAnsi" w:hAnsiTheme="minorHAnsi"/>
                <w:color w:val="1F3864" w:themeColor="accent1" w:themeShade="80"/>
                <w:lang w:val="en-US"/>
              </w:rPr>
              <w:t xml:space="preserve"> </w:t>
            </w:r>
            <w:r w:rsidR="00EF22E4" w:rsidRPr="00D773BA">
              <w:rPr>
                <w:rFonts w:asciiTheme="minorHAnsi" w:hAnsiTheme="minorHAnsi"/>
                <w:color w:val="1F3864" w:themeColor="accent1" w:themeShade="80"/>
                <w:lang w:val="en-US"/>
              </w:rPr>
              <w:t>20</w:t>
            </w:r>
            <w:r w:rsidR="00EF22E4">
              <w:rPr>
                <w:rFonts w:asciiTheme="minorHAnsi" w:hAnsiTheme="minorHAnsi"/>
                <w:color w:val="1F3864" w:themeColor="accent1" w:themeShade="80"/>
                <w:lang w:val="en-US"/>
              </w:rPr>
              <w:t>2</w:t>
            </w:r>
            <w:r>
              <w:rPr>
                <w:rFonts w:asciiTheme="minorHAnsi" w:hAnsiTheme="minorHAnsi"/>
                <w:color w:val="1F3864" w:themeColor="accent1" w:themeShade="80"/>
                <w:lang w:val="en-US"/>
              </w:rPr>
              <w:t>2</w:t>
            </w:r>
          </w:p>
          <w:p w14:paraId="28E10BCA" w14:textId="77777777" w:rsidR="00EF22E4" w:rsidRDefault="00EF22E4" w:rsidP="00F11784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</w:p>
          <w:p w14:paraId="1A9C0DAC" w14:textId="1274E0CE" w:rsidR="00EF22E4" w:rsidRPr="00F639BB" w:rsidRDefault="00EF22E4" w:rsidP="00F11784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</w:p>
        </w:tc>
      </w:tr>
      <w:tr w:rsidR="00EF22E4" w:rsidRPr="00D773BA" w14:paraId="2D205243" w14:textId="77777777" w:rsidTr="00F11784">
        <w:trPr>
          <w:trHeight w:hRule="exact" w:val="495"/>
        </w:trPr>
        <w:tc>
          <w:tcPr>
            <w:tcW w:w="1056" w:type="dxa"/>
            <w:tcBorders>
              <w:top w:val="single" w:sz="4" w:space="0" w:color="7594A9"/>
            </w:tcBorders>
          </w:tcPr>
          <w:p w14:paraId="7F3A6B41" w14:textId="77777777" w:rsidR="00EF22E4" w:rsidRPr="00D773BA" w:rsidRDefault="00EF22E4" w:rsidP="00F11784">
            <w:pPr>
              <w:pStyle w:val="Invultekst"/>
              <w:rPr>
                <w:color w:val="1F3864" w:themeColor="accent1" w:themeShade="80"/>
                <w:lang w:val="en-US"/>
              </w:rPr>
            </w:pPr>
          </w:p>
        </w:tc>
        <w:tc>
          <w:tcPr>
            <w:tcW w:w="6766" w:type="dxa"/>
            <w:tcBorders>
              <w:top w:val="single" w:sz="4" w:space="0" w:color="7594A9"/>
            </w:tcBorders>
          </w:tcPr>
          <w:p w14:paraId="09F0C30B" w14:textId="77777777" w:rsidR="00EF22E4" w:rsidRDefault="00EF22E4" w:rsidP="00F11784">
            <w:pPr>
              <w:pStyle w:val="Invultekst"/>
              <w:rPr>
                <w:color w:val="1F3864" w:themeColor="accent1" w:themeShade="80"/>
                <w:lang w:val="en-US"/>
              </w:rPr>
            </w:pPr>
          </w:p>
          <w:p w14:paraId="1D06D28F" w14:textId="77777777" w:rsidR="00EB0BED" w:rsidRDefault="00EB0BED" w:rsidP="00F11784">
            <w:pPr>
              <w:pStyle w:val="Invultekst"/>
              <w:rPr>
                <w:color w:val="1F3864" w:themeColor="accent1" w:themeShade="80"/>
                <w:lang w:val="en-US"/>
              </w:rPr>
            </w:pPr>
          </w:p>
          <w:p w14:paraId="7F319B50" w14:textId="74773A5C" w:rsidR="00EB0BED" w:rsidRPr="00D773BA" w:rsidRDefault="00EB0BED" w:rsidP="00F11784">
            <w:pPr>
              <w:pStyle w:val="Invultekst"/>
              <w:rPr>
                <w:color w:val="1F3864" w:themeColor="accent1" w:themeShade="80"/>
                <w:lang w:val="en-US"/>
              </w:rPr>
            </w:pPr>
          </w:p>
        </w:tc>
      </w:tr>
    </w:tbl>
    <w:p w14:paraId="0D79D079" w14:textId="0B893922" w:rsidR="00EB0BED" w:rsidRDefault="00EB0BED" w:rsidP="00EB0BED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</w:p>
    <w:p w14:paraId="2A6184F3" w14:textId="68398769" w:rsidR="00B769AF" w:rsidRDefault="00B769AF" w:rsidP="00EB0BED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</w:p>
    <w:p w14:paraId="020CACFA" w14:textId="0679198C" w:rsidR="00B769AF" w:rsidRDefault="00B769AF" w:rsidP="00EB0BED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</w:p>
    <w:p w14:paraId="52CAC7FA" w14:textId="71D62D25" w:rsidR="0064354E" w:rsidRPr="009545F6" w:rsidRDefault="00B425F0" w:rsidP="00EB0BED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  <w:r w:rsidRPr="009545F6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  <w:t>N</w:t>
      </w:r>
      <w:r w:rsidR="00B769AF" w:rsidRPr="009545F6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  <w:t xml:space="preserve">otice from the </w:t>
      </w:r>
      <w:r w:rsidR="0064354E" w:rsidRPr="009545F6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  <w:t>I-REC Standard Foundation</w:t>
      </w:r>
      <w:r w:rsidR="00B769AF" w:rsidRPr="009545F6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  <w:t xml:space="preserve"> </w:t>
      </w:r>
    </w:p>
    <w:p w14:paraId="27AF8149" w14:textId="2ED18EA2" w:rsidR="00481AE9" w:rsidRPr="009545F6" w:rsidRDefault="002B2B48" w:rsidP="00EB0BED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i/>
          <w:iCs/>
          <w:sz w:val="18"/>
          <w:szCs w:val="18"/>
          <w:lang w:eastAsia="en-GB"/>
        </w:rPr>
      </w:pP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This</w:t>
      </w:r>
      <w:r w:rsidR="002636A2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report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has been 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completed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by 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a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Platform Operator 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and is a disclosure form, required by the I-REC Standard Foundation,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to inform </w:t>
      </w:r>
      <w:r w:rsidR="00BC7793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potential </w:t>
      </w:r>
      <w:r w:rsidR="00480F32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users</w:t>
      </w:r>
      <w:r w:rsidR="00BC7793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about the functioning </w:t>
      </w:r>
      <w:r w:rsidR="00FD15D1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of th</w:t>
      </w:r>
      <w:r w:rsidR="00480F32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e </w:t>
      </w:r>
      <w:r w:rsidR="004E30BE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operator’s </w:t>
      </w:r>
      <w:r w:rsidR="00480F32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Platform</w:t>
      </w:r>
      <w:r w:rsidR="00B769AF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and</w:t>
      </w:r>
      <w:r w:rsidR="00480F32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its</w:t>
      </w:r>
      <w:r w:rsidR="00E27C68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</w:t>
      </w:r>
      <w:r w:rsidR="00C0006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interaction with </w:t>
      </w:r>
      <w:r w:rsidR="00B769AF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an Accredited</w:t>
      </w:r>
      <w:r w:rsidR="00293B41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Registry</w:t>
      </w:r>
      <w:r w:rsid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(</w:t>
      </w:r>
      <w:proofErr w:type="spellStart"/>
      <w:r w:rsid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Evident’s</w:t>
      </w:r>
      <w:proofErr w:type="spellEnd"/>
      <w:r w:rsid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Registry)</w:t>
      </w:r>
      <w:r w:rsidR="00293B41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.</w:t>
      </w:r>
      <w:r w:rsidR="004535CB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</w:t>
      </w:r>
    </w:p>
    <w:p w14:paraId="2C23E511" w14:textId="44C98E5D" w:rsidR="00826E1B" w:rsidRPr="009545F6" w:rsidRDefault="004E30BE" w:rsidP="00964C42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i/>
          <w:iCs/>
          <w:sz w:val="18"/>
          <w:szCs w:val="18"/>
          <w:lang w:eastAsia="en-GB"/>
        </w:rPr>
      </w:pP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Potential and existing Platform users </w:t>
      </w:r>
      <w:r w:rsidR="00ED661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are to 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be informed that there are different ways to access I-REC(E) and participate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in 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the market. </w:t>
      </w:r>
      <w:r w:rsidR="00B769AF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E</w:t>
      </w:r>
      <w:r w:rsidR="00257875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very I-REC(E) </w:t>
      </w:r>
      <w:r w:rsidR="00900B5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is 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validated by nationally appointed issuers and ownership records are maintained on the Evident I-REC(E) Registry. T</w:t>
      </w:r>
      <w:r w:rsidR="00900B5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hroughout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the </w:t>
      </w:r>
      <w:r w:rsidR="00900B5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lifecycle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of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an I</w:t>
      </w:r>
      <w:r w:rsidR="00CE2AD1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-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REC(E) 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certificate,</w:t>
      </w:r>
      <w:r w:rsidR="00B769AF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from issuance to eventual redemption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,</w:t>
      </w:r>
      <w:r w:rsidR="00900B5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the certificate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ownership is determined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and recorded in 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the</w:t>
      </w:r>
      <w:r w:rsidR="00ED661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I-REC(E)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Registry</w:t>
      </w:r>
      <w:r w:rsidR="00900B5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.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The Registry also provide</w:t>
      </w:r>
      <w:r w:rsidR="007945D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s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b</w:t>
      </w:r>
      <w:r w:rsidR="00B769AF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asic functionalit</w:t>
      </w:r>
      <w:r w:rsid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ies</w:t>
      </w:r>
      <w:r w:rsidR="00B769AF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</w:t>
      </w:r>
      <w:r w:rsidR="007945D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including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device registration, I-REC(E) transfers and I-REC(E) redemptions</w:t>
      </w:r>
      <w:r w:rsid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. These services are accessible to anyone who is registered in the Registry and can also be accessed through existing market players (e.g., Registrants and Participants) </w:t>
      </w:r>
      <w:r w:rsidR="009545F6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who are familiar with the rules and requirements of the International Attribute Tracking Standard and associated I-REC(E) Product Code</w:t>
      </w:r>
      <w:r w:rsid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.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However, the Registry can also be indirectly accessed via Accredited Platforms. These Platforms may provide different services, visualizations or tools which </w:t>
      </w:r>
      <w:r w:rsidR="00826E1B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supplement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the functionality provided by the Registry. However, use of a Platform is 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u w:val="single"/>
          <w:lang w:eastAsia="en-GB"/>
        </w:rPr>
        <w:t>never mandatory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for the issuance, trade, or redemption of I-REC(E). Users should, as a result, be informed of the Platforms </w:t>
      </w:r>
      <w:r w:rsidR="00637BD5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they intend to make use</w:t>
      </w:r>
      <w:r w:rsidR="00B425F0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of and determine if a Platform </w:t>
      </w:r>
      <w:r w:rsidR="0059332E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provides</w:t>
      </w:r>
      <w:r w:rsidR="00637BD5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</w:t>
      </w:r>
      <w:r w:rsidR="0059332E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added value</w:t>
      </w:r>
      <w:r w:rsidR="009733CD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for them</w:t>
      </w:r>
      <w:r w:rsidR="0059332E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.</w:t>
      </w:r>
    </w:p>
    <w:p w14:paraId="0775825F" w14:textId="44D25215" w:rsidR="00826E1B" w:rsidRPr="009545F6" w:rsidRDefault="00264871" w:rsidP="00EB0BED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i/>
          <w:iCs/>
          <w:sz w:val="18"/>
          <w:szCs w:val="18"/>
          <w:lang w:eastAsia="en-GB"/>
        </w:rPr>
      </w:pP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The I-REC Standard Foundation and Evident Services periodically check that the Platform is</w:t>
      </w:r>
      <w:r w:rsidR="0059332E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adherent to the rules of Accreditation and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well</w:t>
      </w:r>
      <w:r w:rsidR="0059332E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-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integrated</w:t>
      </w:r>
      <w:r w:rsidR="001E2D67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with </w:t>
      </w:r>
      <w:r w:rsidR="0059332E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the Registry. </w:t>
      </w:r>
      <w:r w:rsidR="00CB00F8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However, the Foundation</w:t>
      </w:r>
      <w:r w:rsidR="00637BD5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, Evident Services</w:t>
      </w:r>
      <w:r w:rsidR="00CB00F8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 </w:t>
      </w:r>
      <w:r w:rsidR="0059332E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or any Accredited Market Facilitator </w:t>
      </w: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cannot be held responsible for the quality of services provided by Platform Operators</w:t>
      </w:r>
      <w:r w:rsidR="00826E1B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.</w:t>
      </w:r>
    </w:p>
    <w:p w14:paraId="5048D846" w14:textId="2D072DD1" w:rsidR="002636A2" w:rsidRPr="009545F6" w:rsidRDefault="003056B7" w:rsidP="00EB0BED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i/>
          <w:iCs/>
          <w:sz w:val="18"/>
          <w:szCs w:val="18"/>
          <w:lang w:eastAsia="en-GB"/>
        </w:rPr>
      </w:pPr>
      <w:r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If you have any </w:t>
      </w:r>
      <w:r w:rsidR="0029421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further questions about the interaction between Platforms and the Evident Registry, please </w:t>
      </w:r>
      <w:r w:rsidR="002636A2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contact the I-</w:t>
      </w:r>
      <w:r w:rsidR="003A065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 xml:space="preserve">REC Standard secretariat at </w:t>
      </w:r>
      <w:hyperlink r:id="rId12" w:history="1">
        <w:r w:rsidR="003A0654" w:rsidRPr="009545F6">
          <w:rPr>
            <w:rStyle w:val="Hyperlink"/>
            <w:rFonts w:ascii="Calibri" w:eastAsia="Times New Roman" w:hAnsi="Calibri" w:cs="Calibri"/>
            <w:i/>
            <w:iCs/>
            <w:sz w:val="18"/>
            <w:szCs w:val="18"/>
            <w:lang w:eastAsia="en-GB"/>
          </w:rPr>
          <w:t>secretariat@irecstandard.org</w:t>
        </w:r>
      </w:hyperlink>
      <w:r w:rsidR="003A0654" w:rsidRPr="009545F6">
        <w:rPr>
          <w:rFonts w:ascii="Calibri" w:eastAsia="Times New Roman" w:hAnsi="Calibri" w:cs="Calibri"/>
          <w:i/>
          <w:iCs/>
          <w:sz w:val="18"/>
          <w:szCs w:val="18"/>
          <w:lang w:eastAsia="en-GB"/>
        </w:rPr>
        <w:t>.</w:t>
      </w:r>
    </w:p>
    <w:p w14:paraId="1D455D31" w14:textId="0914D567" w:rsidR="003A0654" w:rsidRDefault="003A0654" w:rsidP="002636A2">
      <w:pPr>
        <w:spacing w:before="100" w:beforeAutospacing="1" w:after="165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14:paraId="7F4B9785" w14:textId="1200D7FC" w:rsidR="003A0654" w:rsidRDefault="003A0654" w:rsidP="002636A2">
      <w:pPr>
        <w:spacing w:before="100" w:beforeAutospacing="1" w:after="165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14:paraId="410A4897" w14:textId="77777777" w:rsidR="00672F6B" w:rsidRDefault="00672F6B" w:rsidP="003A0654">
      <w:pPr>
        <w:spacing w:before="100" w:beforeAutospacing="1" w:after="165" w:line="240" w:lineRule="auto"/>
        <w:rPr>
          <w:rFonts w:ascii="Calibri" w:eastAsia="Times New Roman" w:hAnsi="Calibri" w:cs="Calibri"/>
          <w:i/>
          <w:iCs/>
          <w:lang w:eastAsia="en-GB"/>
        </w:rPr>
      </w:pPr>
    </w:p>
    <w:p w14:paraId="2DCC3AF8" w14:textId="77777777" w:rsidR="00F5376C" w:rsidRDefault="00F5376C" w:rsidP="003A0654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2671399" w14:textId="30B1BDD4" w:rsidR="003A0654" w:rsidRPr="00EF686D" w:rsidRDefault="002636A2" w:rsidP="003A0654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Who is the legal owner of the Platform (e.g.</w:t>
      </w:r>
      <w:r w:rsidR="001D3EE1"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</w:t>
      </w: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the Platform Operator)</w:t>
      </w:r>
      <w:r w:rsidR="003A0654"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?</w:t>
      </w:r>
    </w:p>
    <w:p w14:paraId="44FEA0DE" w14:textId="6CA7A472" w:rsidR="00332387" w:rsidRPr="00332387" w:rsidRDefault="002636A2" w:rsidP="001B77FA">
      <w:p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2636A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2B9BDDD8" w14:textId="1EB947A7" w:rsidR="009733CD" w:rsidRPr="00EF686D" w:rsidRDefault="009733CD" w:rsidP="009733CD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Please provide a short description of the purpose of the Platform</w:t>
      </w:r>
      <w:r w:rsidRPr="00EF686D">
        <w:rPr>
          <w:rFonts w:ascii="Calibri" w:eastAsia="Times New Roman" w:hAnsi="Calibri" w:cs="Calibri"/>
          <w:b/>
          <w:bCs/>
          <w:lang w:eastAsia="en-GB"/>
        </w:rPr>
        <w:t>.</w:t>
      </w:r>
    </w:p>
    <w:p w14:paraId="159A76BF" w14:textId="3709B0FE" w:rsidR="009733CD" w:rsidRPr="002636A2" w:rsidRDefault="009733CD" w:rsidP="009733C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5260BDC6" w14:textId="77777777" w:rsidR="009733CD" w:rsidRPr="00EF686D" w:rsidRDefault="009733CD" w:rsidP="009733C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Please define the primary markets or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jurisdictions in</w:t>
      </w: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which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the </w:t>
      </w: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Platform will 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operate</w:t>
      </w: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</w:t>
      </w:r>
    </w:p>
    <w:p w14:paraId="645D3CC7" w14:textId="71670544" w:rsidR="009733CD" w:rsidRPr="002636A2" w:rsidRDefault="009733CD" w:rsidP="009733C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6EE884CF" w14:textId="79AE3DA8" w:rsidR="009733CD" w:rsidRPr="00EF686D" w:rsidRDefault="009733CD" w:rsidP="009733C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How can users register at the</w:t>
      </w: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Platform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and where can contracts or terms and conditions be found</w:t>
      </w: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? </w:t>
      </w:r>
    </w:p>
    <w:p w14:paraId="7FBFD113" w14:textId="77777777" w:rsidR="005153E6" w:rsidRDefault="005153E6" w:rsidP="005153E6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3A83DC8C" w14:textId="495FEACF" w:rsidR="005153E6" w:rsidRPr="005153E6" w:rsidRDefault="005153E6" w:rsidP="005153E6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153E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Please define the intended steps for various users of the Platform to be registered with the Platform Operator prior to use. Are legal agreements required? If so are these prepared? </w:t>
      </w:r>
    </w:p>
    <w:p w14:paraId="693BEC83" w14:textId="78AC450F" w:rsidR="009733CD" w:rsidRPr="002636A2" w:rsidRDefault="009733CD" w:rsidP="009733C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1EE2CD57" w14:textId="483E6FB8" w:rsidR="003A0654" w:rsidRPr="00EF686D" w:rsidRDefault="00CA6D49" w:rsidP="00EF686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How can users access the Platform and who can they contact for </w:t>
      </w:r>
      <w:r w:rsidR="0054229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questions?</w:t>
      </w:r>
    </w:p>
    <w:p w14:paraId="12DF581B" w14:textId="4B8B051A" w:rsidR="002636A2" w:rsidRPr="002636A2" w:rsidRDefault="002636A2" w:rsidP="003A065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3FA40E26" w14:textId="177307D8" w:rsidR="00D17BC4" w:rsidRPr="00EF686D" w:rsidRDefault="009733CD" w:rsidP="00D17BC4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What languages does the Platform support? </w:t>
      </w:r>
    </w:p>
    <w:p w14:paraId="13BFA1B9" w14:textId="6A120934" w:rsidR="00D17BC4" w:rsidRPr="002636A2" w:rsidRDefault="00D17BC4" w:rsidP="00D17BC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F3C01C8" w14:textId="0C42C99B" w:rsidR="00DC0594" w:rsidRPr="00EF686D" w:rsidRDefault="00DC0594" w:rsidP="00EF686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Please describe in detail the functionality of your Platform.</w:t>
      </w:r>
    </w:p>
    <w:p w14:paraId="2C1D320B" w14:textId="0CADD7FC" w:rsidR="00DC0594" w:rsidRPr="002636A2" w:rsidRDefault="00DC0594" w:rsidP="00DC059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703524E8" w14:textId="5F13A3B8" w:rsidR="009733CD" w:rsidRPr="00EF686D" w:rsidRDefault="009733CD" w:rsidP="009733C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How does the above functionality relates to the </w:t>
      </w:r>
      <w:r w:rsidR="0084670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Accredited Registry (</w:t>
      </w:r>
      <w:proofErr w:type="spellStart"/>
      <w:r w:rsidR="0084670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Evident’s</w:t>
      </w:r>
      <w:proofErr w:type="spellEnd"/>
      <w:r w:rsidR="0084670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Registry)?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.</w:t>
      </w:r>
    </w:p>
    <w:p w14:paraId="41D5DAF5" w14:textId="6E17E3BD" w:rsidR="009733CD" w:rsidRPr="002636A2" w:rsidRDefault="009733CD" w:rsidP="009733C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7715A869" w14:textId="2CC9ABAC" w:rsidR="00DC0594" w:rsidRPr="00B639C7" w:rsidRDefault="00CC7287" w:rsidP="00B639C7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B639C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Who can use your platform?</w:t>
      </w:r>
      <w:r w:rsidR="00B639C7" w:rsidRPr="00B639C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(more than one are possible)</w:t>
      </w:r>
    </w:p>
    <w:p w14:paraId="04C4AF57" w14:textId="36B2AE7D" w:rsidR="00CC7287" w:rsidRDefault="005153E6" w:rsidP="00CC728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-55956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87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CC7287">
        <w:rPr>
          <w:rFonts w:ascii="Calibri" w:eastAsia="Times New Roman" w:hAnsi="Calibri" w:cs="Calibri"/>
          <w:lang w:eastAsia="en-GB"/>
        </w:rPr>
        <w:t xml:space="preserve"> Registrants</w:t>
      </w:r>
      <w:r w:rsidR="00846700">
        <w:rPr>
          <w:rStyle w:val="FootnoteReference"/>
          <w:rFonts w:ascii="Calibri" w:eastAsia="Times New Roman" w:hAnsi="Calibri" w:cs="Calibri"/>
          <w:lang w:eastAsia="en-GB"/>
        </w:rPr>
        <w:footnoteReference w:id="2"/>
      </w:r>
      <w:r w:rsidR="00571D1A">
        <w:rPr>
          <w:rFonts w:ascii="Calibri" w:eastAsia="Times New Roman" w:hAnsi="Calibri" w:cs="Calibri"/>
          <w:lang w:eastAsia="en-GB"/>
        </w:rPr>
        <w:t xml:space="preserve"> registered in the </w:t>
      </w:r>
      <w:r w:rsidR="00846700">
        <w:rPr>
          <w:rFonts w:ascii="Calibri" w:eastAsia="Times New Roman" w:hAnsi="Calibri" w:cs="Calibri"/>
          <w:lang w:eastAsia="en-GB"/>
        </w:rPr>
        <w:t xml:space="preserve">Evident </w:t>
      </w:r>
      <w:r w:rsidR="00571D1A">
        <w:rPr>
          <w:rFonts w:ascii="Calibri" w:eastAsia="Times New Roman" w:hAnsi="Calibri" w:cs="Calibri"/>
          <w:lang w:eastAsia="en-GB"/>
        </w:rPr>
        <w:t>Registry</w:t>
      </w:r>
    </w:p>
    <w:p w14:paraId="6E77C840" w14:textId="026FE3FA" w:rsidR="00B639C7" w:rsidRPr="00B639C7" w:rsidRDefault="005153E6" w:rsidP="00B639C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64316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87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CC7287">
        <w:rPr>
          <w:rFonts w:ascii="Calibri" w:eastAsia="Times New Roman" w:hAnsi="Calibri" w:cs="Calibri"/>
          <w:lang w:eastAsia="en-GB"/>
        </w:rPr>
        <w:t xml:space="preserve"> Participants</w:t>
      </w:r>
      <w:r w:rsidR="00846700">
        <w:rPr>
          <w:rStyle w:val="FootnoteReference"/>
          <w:rFonts w:ascii="Calibri" w:eastAsia="Times New Roman" w:hAnsi="Calibri" w:cs="Calibri"/>
          <w:lang w:eastAsia="en-GB"/>
        </w:rPr>
        <w:footnoteReference w:id="3"/>
      </w:r>
      <w:r w:rsidR="00571D1A">
        <w:rPr>
          <w:rFonts w:ascii="Calibri" w:eastAsia="Times New Roman" w:hAnsi="Calibri" w:cs="Calibri"/>
          <w:lang w:eastAsia="en-GB"/>
        </w:rPr>
        <w:t xml:space="preserve"> registered in the </w:t>
      </w:r>
      <w:r w:rsidR="00846700">
        <w:rPr>
          <w:rFonts w:ascii="Calibri" w:eastAsia="Times New Roman" w:hAnsi="Calibri" w:cs="Calibri"/>
          <w:lang w:eastAsia="en-GB"/>
        </w:rPr>
        <w:t xml:space="preserve">Evident </w:t>
      </w:r>
      <w:r w:rsidR="00571D1A">
        <w:rPr>
          <w:rFonts w:ascii="Calibri" w:eastAsia="Times New Roman" w:hAnsi="Calibri" w:cs="Calibri"/>
          <w:lang w:eastAsia="en-GB"/>
        </w:rPr>
        <w:t>Registry</w:t>
      </w:r>
    </w:p>
    <w:p w14:paraId="4ACD1F27" w14:textId="1C418BD7" w:rsidR="00CC7287" w:rsidRDefault="005153E6" w:rsidP="00CC7287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-7091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87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CC7287">
        <w:rPr>
          <w:rFonts w:ascii="Calibri" w:eastAsia="Times New Roman" w:hAnsi="Calibri" w:cs="Calibri"/>
          <w:lang w:eastAsia="en-GB"/>
        </w:rPr>
        <w:t xml:space="preserve"> </w:t>
      </w:r>
      <w:r w:rsidR="008F1003">
        <w:rPr>
          <w:rFonts w:ascii="Calibri" w:eastAsia="Times New Roman" w:hAnsi="Calibri" w:cs="Calibri"/>
          <w:lang w:eastAsia="en-GB"/>
        </w:rPr>
        <w:t>Entities without</w:t>
      </w:r>
      <w:r w:rsidR="00277CEA">
        <w:rPr>
          <w:rFonts w:ascii="Calibri" w:eastAsia="Times New Roman" w:hAnsi="Calibri" w:cs="Calibri"/>
          <w:lang w:eastAsia="en-GB"/>
        </w:rPr>
        <w:t xml:space="preserve"> an account in the </w:t>
      </w:r>
      <w:r>
        <w:rPr>
          <w:rFonts w:ascii="Calibri" w:eastAsia="Times New Roman" w:hAnsi="Calibri" w:cs="Calibri"/>
          <w:lang w:eastAsia="en-GB"/>
        </w:rPr>
        <w:t xml:space="preserve">Evident </w:t>
      </w:r>
      <w:r w:rsidR="00277CEA">
        <w:rPr>
          <w:rFonts w:ascii="Calibri" w:eastAsia="Times New Roman" w:hAnsi="Calibri" w:cs="Calibri"/>
          <w:lang w:eastAsia="en-GB"/>
        </w:rPr>
        <w:t>Registry</w:t>
      </w:r>
    </w:p>
    <w:p w14:paraId="14EAAAE0" w14:textId="77777777" w:rsidR="00DC0594" w:rsidRPr="00EF686D" w:rsidRDefault="00DC0594" w:rsidP="00EF686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Which of the following best describe your platform (more than one are possible): </w:t>
      </w:r>
    </w:p>
    <w:p w14:paraId="09AA080E" w14:textId="77777777" w:rsidR="00DC0594" w:rsidRDefault="005153E6" w:rsidP="00DC05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-118697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594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DC0594">
        <w:rPr>
          <w:rFonts w:ascii="Calibri" w:eastAsia="Times New Roman" w:hAnsi="Calibri" w:cs="Calibri"/>
          <w:lang w:eastAsia="en-GB"/>
        </w:rPr>
        <w:t xml:space="preserve"> </w:t>
      </w:r>
      <w:r w:rsidR="00DC0594" w:rsidRPr="002636A2">
        <w:rPr>
          <w:rFonts w:ascii="Calibri" w:eastAsia="Times New Roman" w:hAnsi="Calibri" w:cs="Calibri"/>
          <w:lang w:eastAsia="en-GB"/>
        </w:rPr>
        <w:t>Market, trade</w:t>
      </w:r>
      <w:r w:rsidR="00DC0594">
        <w:rPr>
          <w:rFonts w:ascii="Calibri" w:eastAsia="Times New Roman" w:hAnsi="Calibri" w:cs="Calibri"/>
          <w:lang w:eastAsia="en-GB"/>
        </w:rPr>
        <w:t>,</w:t>
      </w:r>
      <w:r w:rsidR="00DC0594" w:rsidRPr="002636A2">
        <w:rPr>
          <w:rFonts w:ascii="Calibri" w:eastAsia="Times New Roman" w:hAnsi="Calibri" w:cs="Calibri"/>
          <w:lang w:eastAsia="en-GB"/>
        </w:rPr>
        <w:t xml:space="preserve"> or exchange functionality</w:t>
      </w:r>
      <w:r w:rsidR="00DC0594" w:rsidRPr="002636A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5B03A8CC" w14:textId="77777777" w:rsidR="00DC0594" w:rsidRDefault="005153E6" w:rsidP="00DC05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-41162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594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DC0594">
        <w:rPr>
          <w:rFonts w:ascii="Calibri" w:eastAsia="Times New Roman" w:hAnsi="Calibri" w:cs="Calibri"/>
          <w:lang w:eastAsia="en-GB"/>
        </w:rPr>
        <w:t xml:space="preserve"> </w:t>
      </w:r>
      <w:r w:rsidR="00DC0594" w:rsidRPr="002636A2">
        <w:rPr>
          <w:rFonts w:ascii="Calibri" w:eastAsia="Times New Roman" w:hAnsi="Calibri" w:cs="Calibri"/>
          <w:lang w:eastAsia="en-GB"/>
        </w:rPr>
        <w:t xml:space="preserve">Facilitation of </w:t>
      </w:r>
      <w:r w:rsidR="00DC0594">
        <w:rPr>
          <w:rFonts w:ascii="Calibri" w:eastAsia="Times New Roman" w:hAnsi="Calibri" w:cs="Calibri"/>
          <w:lang w:eastAsia="en-GB"/>
        </w:rPr>
        <w:t>R</w:t>
      </w:r>
      <w:r w:rsidR="00DC0594" w:rsidRPr="002636A2">
        <w:rPr>
          <w:rFonts w:ascii="Calibri" w:eastAsia="Times New Roman" w:hAnsi="Calibri" w:cs="Calibri"/>
          <w:lang w:eastAsia="en-GB"/>
        </w:rPr>
        <w:t xml:space="preserve">edemptions and/or creation of Platform </w:t>
      </w:r>
      <w:r w:rsidR="00DC0594">
        <w:rPr>
          <w:rFonts w:ascii="Calibri" w:eastAsia="Times New Roman" w:hAnsi="Calibri" w:cs="Calibri"/>
          <w:lang w:eastAsia="en-GB"/>
        </w:rPr>
        <w:t>R</w:t>
      </w:r>
      <w:r w:rsidR="00DC0594" w:rsidRPr="002636A2">
        <w:rPr>
          <w:rFonts w:ascii="Calibri" w:eastAsia="Times New Roman" w:hAnsi="Calibri" w:cs="Calibri"/>
          <w:lang w:eastAsia="en-GB"/>
        </w:rPr>
        <w:t>edemption statements</w:t>
      </w:r>
      <w:r w:rsidR="00DC0594" w:rsidRPr="002636A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366F7E4A" w14:textId="77777777" w:rsidR="00DC0594" w:rsidRDefault="005153E6" w:rsidP="00DC05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-178093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594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DC0594">
        <w:rPr>
          <w:rFonts w:ascii="Calibri" w:eastAsia="Times New Roman" w:hAnsi="Calibri" w:cs="Calibri"/>
          <w:lang w:eastAsia="en-GB"/>
        </w:rPr>
        <w:t xml:space="preserve"> </w:t>
      </w:r>
      <w:r w:rsidR="00DC0594" w:rsidRPr="002636A2">
        <w:rPr>
          <w:rFonts w:ascii="Calibri" w:eastAsia="Times New Roman" w:hAnsi="Calibri" w:cs="Calibri"/>
          <w:lang w:eastAsia="en-GB"/>
        </w:rPr>
        <w:t xml:space="preserve">Visualization tool or creation </w:t>
      </w:r>
      <w:r w:rsidR="00DC0594">
        <w:rPr>
          <w:rFonts w:ascii="Calibri" w:eastAsia="Times New Roman" w:hAnsi="Calibri" w:cs="Calibri"/>
          <w:lang w:eastAsia="en-GB"/>
        </w:rPr>
        <w:t>of reports on usage</w:t>
      </w:r>
    </w:p>
    <w:p w14:paraId="6E4CB11A" w14:textId="77777777" w:rsidR="00DC0594" w:rsidRDefault="005153E6" w:rsidP="00DC05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-51685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594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DC0594">
        <w:rPr>
          <w:rFonts w:ascii="Calibri" w:eastAsia="Times New Roman" w:hAnsi="Calibri" w:cs="Calibri"/>
          <w:lang w:eastAsia="en-GB"/>
        </w:rPr>
        <w:t xml:space="preserve"> </w:t>
      </w:r>
      <w:r w:rsidR="00DC0594" w:rsidRPr="002636A2">
        <w:rPr>
          <w:rFonts w:ascii="Calibri" w:eastAsia="Times New Roman" w:hAnsi="Calibri" w:cs="Calibri"/>
          <w:lang w:eastAsia="en-GB"/>
        </w:rPr>
        <w:t>Mechanism to support increased granularity</w:t>
      </w:r>
      <w:r w:rsidR="00DC0594" w:rsidRPr="002636A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0F331295" w14:textId="77777777" w:rsidR="00DC0594" w:rsidRDefault="005153E6" w:rsidP="00DC05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35547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594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DC0594">
        <w:rPr>
          <w:rFonts w:ascii="Calibri" w:eastAsia="Times New Roman" w:hAnsi="Calibri" w:cs="Calibri"/>
          <w:lang w:eastAsia="en-GB"/>
        </w:rPr>
        <w:t xml:space="preserve"> </w:t>
      </w:r>
      <w:r w:rsidR="00DC0594" w:rsidRPr="002636A2">
        <w:rPr>
          <w:rFonts w:ascii="Calibri" w:eastAsia="Times New Roman" w:hAnsi="Calibri" w:cs="Calibri"/>
          <w:lang w:eastAsia="en-GB"/>
        </w:rPr>
        <w:t xml:space="preserve">Mechanism to support registration of small </w:t>
      </w:r>
      <w:r w:rsidR="00DC0594">
        <w:rPr>
          <w:rFonts w:ascii="Calibri" w:eastAsia="Times New Roman" w:hAnsi="Calibri" w:cs="Calibri"/>
          <w:lang w:eastAsia="en-GB"/>
        </w:rPr>
        <w:t xml:space="preserve">or distributed </w:t>
      </w:r>
      <w:r w:rsidR="00DC0594" w:rsidRPr="002636A2">
        <w:rPr>
          <w:rFonts w:ascii="Calibri" w:eastAsia="Times New Roman" w:hAnsi="Calibri" w:cs="Calibri"/>
          <w:lang w:eastAsia="en-GB"/>
        </w:rPr>
        <w:t>devices</w:t>
      </w:r>
      <w:r w:rsidR="00DC0594" w:rsidRPr="002636A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355C9367" w14:textId="77777777" w:rsidR="00DC0594" w:rsidRDefault="005153E6" w:rsidP="00DC05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152205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594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DC0594">
        <w:rPr>
          <w:rFonts w:ascii="Calibri" w:eastAsia="Times New Roman" w:hAnsi="Calibri" w:cs="Calibri"/>
          <w:lang w:eastAsia="en-GB"/>
        </w:rPr>
        <w:t xml:space="preserve"> </w:t>
      </w:r>
      <w:r w:rsidR="00DC0594" w:rsidRPr="002636A2">
        <w:rPr>
          <w:rFonts w:ascii="Calibri" w:eastAsia="Times New Roman" w:hAnsi="Calibri" w:cs="Calibri"/>
          <w:lang w:eastAsia="en-GB"/>
        </w:rPr>
        <w:t>Platform to simplify the issuance process</w:t>
      </w:r>
      <w:r w:rsidR="00DC0594" w:rsidRPr="002636A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3B8FB5E1" w14:textId="77777777" w:rsidR="00DC0594" w:rsidRDefault="005153E6" w:rsidP="00DC05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-123230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594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DC0594">
        <w:rPr>
          <w:rFonts w:ascii="Calibri" w:eastAsia="Times New Roman" w:hAnsi="Calibri" w:cs="Calibri"/>
          <w:lang w:eastAsia="en-GB"/>
        </w:rPr>
        <w:t xml:space="preserve"> </w:t>
      </w:r>
      <w:r w:rsidR="00DC0594" w:rsidRPr="002636A2">
        <w:rPr>
          <w:rFonts w:ascii="Calibri" w:eastAsia="Times New Roman" w:hAnsi="Calibri" w:cs="Calibri"/>
          <w:lang w:eastAsia="en-GB"/>
        </w:rPr>
        <w:t>Platform only for internal use (back-office/mid-office use)</w:t>
      </w:r>
      <w:r w:rsidR="00DC0594" w:rsidRPr="002636A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3223D0C3" w14:textId="507C9E8F" w:rsidR="00EF22E4" w:rsidRPr="007E1A0B" w:rsidRDefault="005153E6" w:rsidP="007E1A0B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sdt>
        <w:sdtPr>
          <w:rPr>
            <w:rFonts w:ascii="Calibri" w:eastAsia="Times New Roman" w:hAnsi="Calibri" w:cs="Calibri"/>
            <w:lang w:eastAsia="en-GB"/>
          </w:rPr>
          <w:id w:val="75625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594">
            <w:rPr>
              <w:rFonts w:ascii="MS Gothic" w:eastAsia="MS Gothic" w:hAnsi="MS Gothic" w:cs="Calibri" w:hint="eastAsia"/>
              <w:lang w:eastAsia="en-GB"/>
            </w:rPr>
            <w:t>☐</w:t>
          </w:r>
        </w:sdtContent>
      </w:sdt>
      <w:r w:rsidR="00DC0594">
        <w:rPr>
          <w:rFonts w:ascii="Calibri" w:eastAsia="Times New Roman" w:hAnsi="Calibri" w:cs="Calibri"/>
          <w:lang w:eastAsia="en-GB"/>
        </w:rPr>
        <w:t xml:space="preserve"> </w:t>
      </w:r>
      <w:r w:rsidR="00DC0594" w:rsidRPr="002636A2">
        <w:rPr>
          <w:rFonts w:ascii="Calibri" w:eastAsia="Times New Roman" w:hAnsi="Calibri" w:cs="Calibri"/>
          <w:lang w:eastAsia="en-GB"/>
        </w:rPr>
        <w:t>Other, namely:</w:t>
      </w:r>
      <w:r w:rsidR="00DC0594">
        <w:rPr>
          <w:rFonts w:ascii="Calibri" w:eastAsia="Times New Roman" w:hAnsi="Calibri" w:cs="Calibri"/>
          <w:lang w:eastAsia="en-GB"/>
        </w:rPr>
        <w:t xml:space="preserve"> </w:t>
      </w:r>
      <w:r w:rsidR="00DC0594" w:rsidRPr="002636A2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sdt>
        <w:sdtPr>
          <w:rPr>
            <w:rFonts w:ascii="Segoe UI" w:eastAsia="Times New Roman" w:hAnsi="Segoe UI" w:cs="Segoe UI"/>
            <w:sz w:val="21"/>
            <w:szCs w:val="21"/>
            <w:lang w:eastAsia="en-GB"/>
          </w:rPr>
          <w:id w:val="2113087385"/>
          <w:placeholder>
            <w:docPart w:val="660A96AC48A344549581C12B9E334D69"/>
          </w:placeholder>
          <w:showingPlcHdr/>
          <w:text/>
        </w:sdtPr>
        <w:sdtEndPr/>
        <w:sdtContent>
          <w:r w:rsidR="00DC0594" w:rsidRPr="00F31205">
            <w:rPr>
              <w:rStyle w:val="PlaceholderText"/>
            </w:rPr>
            <w:t>Click or tap here to enter text.</w:t>
          </w:r>
        </w:sdtContent>
      </w:sdt>
    </w:p>
    <w:p w14:paraId="50B0D20E" w14:textId="3481C0F1" w:rsidR="002636A2" w:rsidRPr="00EF686D" w:rsidRDefault="003A0654" w:rsidP="00EF686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Please provide a description of t</w:t>
      </w:r>
      <w:r w:rsidR="002636A2"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he fees associated with the use of the Platform</w:t>
      </w:r>
      <w:r w:rsidR="00FC7BF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(e.g.</w:t>
      </w:r>
      <w:r w:rsidR="00DF255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link to fee structure)</w:t>
      </w:r>
      <w:r w:rsidR="002636A2"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. </w:t>
      </w:r>
    </w:p>
    <w:p w14:paraId="17233C28" w14:textId="1020367C" w:rsidR="003A0654" w:rsidRPr="002636A2" w:rsidRDefault="003A0654" w:rsidP="003A065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1B3C27D" w14:textId="590FD0A8" w:rsidR="000811B6" w:rsidRDefault="000811B6" w:rsidP="00EF686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In </w:t>
      </w:r>
      <w:r w:rsidR="002F6B4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case certificates can be redeemed directly on the Platform, </w:t>
      </w:r>
      <w:r w:rsidR="00F63BF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please provide a screenshot of the template Redemption Statement users can expect</w:t>
      </w:r>
      <w:r w:rsidR="000D1D09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when using this redemption service on the Platform</w:t>
      </w:r>
    </w:p>
    <w:p w14:paraId="5D494AA6" w14:textId="3E27DA40" w:rsidR="00DE228F" w:rsidRDefault="00DE228F" w:rsidP="00EF686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7CF53EF6" w14:textId="09214B10" w:rsidR="003A0654" w:rsidRPr="00EF686D" w:rsidRDefault="002636A2" w:rsidP="00EF686D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What design elements have been considered to ensure that live, tradable certificates cannot be perceived as being owned or redeemed by an End</w:t>
      </w:r>
      <w:r w:rsidR="003A0654"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-User</w:t>
      </w:r>
      <w:r w:rsidR="008D070C"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prior to the act of </w:t>
      </w:r>
      <w:r w:rsidR="00397EF0"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</w:t>
      </w:r>
      <w:r w:rsidR="008D070C"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edemption</w:t>
      </w:r>
      <w:r w:rsidR="003A0654" w:rsidRPr="00EF686D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?</w:t>
      </w:r>
    </w:p>
    <w:p w14:paraId="3BD93CBA" w14:textId="7A628708" w:rsidR="002636A2" w:rsidRPr="002636A2" w:rsidRDefault="002636A2" w:rsidP="003A065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307BFF6" w14:textId="77777777" w:rsidR="000811B6" w:rsidRPr="00EF686D" w:rsidRDefault="000811B6" w:rsidP="000811B6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Where can users find more information about the Platform? (e.g., links to documentation) </w:t>
      </w:r>
    </w:p>
    <w:p w14:paraId="1B5C1484" w14:textId="6E969A59" w:rsidR="000811B6" w:rsidRDefault="000811B6" w:rsidP="000811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5594DAC" w14:textId="77777777" w:rsidR="005153E6" w:rsidRPr="005153E6" w:rsidRDefault="005153E6" w:rsidP="005153E6">
      <w:pPr>
        <w:spacing w:before="100" w:beforeAutospacing="1" w:after="165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5153E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lastRenderedPageBreak/>
        <w:t>In the situation that the platform has a market, trade, or exchange functionality, has an agreement with an associated financial institution been discussed? Are there expectations as to the needs for associated collateral?</w:t>
      </w:r>
    </w:p>
    <w:p w14:paraId="22AC417E" w14:textId="77777777" w:rsidR="005153E6" w:rsidRPr="005153E6" w:rsidRDefault="005153E6" w:rsidP="000811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en-US" w:eastAsia="en-GB"/>
        </w:rPr>
      </w:pPr>
    </w:p>
    <w:p w14:paraId="614C54BC" w14:textId="28680A2E" w:rsidR="00217CE0" w:rsidRPr="00164F1D" w:rsidRDefault="00217CE0" w:rsidP="00164F1D">
      <w:p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sectPr w:rsidR="00217CE0" w:rsidRPr="00164F1D" w:rsidSect="00286E3E"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01BD" w14:textId="77777777" w:rsidR="001B2201" w:rsidRDefault="001B2201" w:rsidP="001D3EE1">
      <w:pPr>
        <w:spacing w:after="0" w:line="240" w:lineRule="auto"/>
      </w:pPr>
      <w:r>
        <w:separator/>
      </w:r>
    </w:p>
  </w:endnote>
  <w:endnote w:type="continuationSeparator" w:id="0">
    <w:p w14:paraId="4C589EE4" w14:textId="77777777" w:rsidR="001B2201" w:rsidRDefault="001B2201" w:rsidP="001D3EE1">
      <w:pPr>
        <w:spacing w:after="0" w:line="240" w:lineRule="auto"/>
      </w:pPr>
      <w:r>
        <w:continuationSeparator/>
      </w:r>
    </w:p>
  </w:endnote>
  <w:endnote w:type="continuationNotice" w:id="1">
    <w:p w14:paraId="372C66DC" w14:textId="77777777" w:rsidR="001B2201" w:rsidRDefault="001B22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ADAC" w14:textId="5124C3CE" w:rsidR="00164F1D" w:rsidRPr="00F639BB" w:rsidRDefault="00164F1D" w:rsidP="00164F1D">
    <w:pPr>
      <w:pStyle w:val="Footer"/>
      <w:rPr>
        <w:lang w:val="en-US"/>
      </w:rPr>
    </w:pPr>
    <w:r w:rsidRPr="00777B97">
      <w:rPr>
        <w:lang w:val="en-US"/>
      </w:rPr>
      <w:tab/>
    </w:r>
    <w:r>
      <w:rPr>
        <w:lang w:val="en-US"/>
      </w:rPr>
      <w:tab/>
    </w:r>
    <w:r w:rsidRPr="00164F1D">
      <w:rPr>
        <w:sz w:val="18"/>
        <w:szCs w:val="18"/>
        <w:lang w:val="en-US"/>
      </w:rPr>
      <w:t xml:space="preserve">Page </w:t>
    </w:r>
    <w:r w:rsidRPr="00164F1D">
      <w:rPr>
        <w:sz w:val="18"/>
        <w:szCs w:val="18"/>
        <w:lang w:val="en-US"/>
      </w:rPr>
      <w:fldChar w:fldCharType="begin"/>
    </w:r>
    <w:r w:rsidRPr="00164F1D">
      <w:rPr>
        <w:sz w:val="18"/>
        <w:szCs w:val="18"/>
        <w:lang w:val="en-US"/>
      </w:rPr>
      <w:instrText xml:space="preserve"> PAGE  </w:instrText>
    </w:r>
    <w:r w:rsidRPr="00164F1D">
      <w:rPr>
        <w:sz w:val="18"/>
        <w:szCs w:val="18"/>
        <w:lang w:val="en-US"/>
      </w:rPr>
      <w:fldChar w:fldCharType="separate"/>
    </w:r>
    <w:r w:rsidRPr="00164F1D">
      <w:rPr>
        <w:sz w:val="18"/>
        <w:szCs w:val="18"/>
        <w:lang w:val="en-US"/>
      </w:rPr>
      <w:t>1</w:t>
    </w:r>
    <w:r w:rsidRPr="00164F1D">
      <w:rPr>
        <w:sz w:val="18"/>
        <w:szCs w:val="18"/>
        <w:lang w:val="en-US"/>
      </w:rPr>
      <w:fldChar w:fldCharType="end"/>
    </w:r>
    <w:r w:rsidRPr="00164F1D">
      <w:rPr>
        <w:sz w:val="18"/>
        <w:szCs w:val="18"/>
        <w:lang w:val="en-US"/>
      </w:rPr>
      <w:t>/</w:t>
    </w:r>
    <w:r w:rsidRPr="00164F1D">
      <w:rPr>
        <w:sz w:val="18"/>
        <w:szCs w:val="18"/>
        <w:lang w:val="en-US"/>
      </w:rPr>
      <w:fldChar w:fldCharType="begin"/>
    </w:r>
    <w:r w:rsidRPr="00164F1D">
      <w:rPr>
        <w:sz w:val="18"/>
        <w:szCs w:val="18"/>
        <w:lang w:val="en-US"/>
      </w:rPr>
      <w:instrText xml:space="preserve"> NUMPAGES  </w:instrText>
    </w:r>
    <w:r w:rsidRPr="00164F1D">
      <w:rPr>
        <w:sz w:val="18"/>
        <w:szCs w:val="18"/>
        <w:lang w:val="en-US"/>
      </w:rPr>
      <w:fldChar w:fldCharType="separate"/>
    </w:r>
    <w:r w:rsidRPr="00164F1D">
      <w:rPr>
        <w:sz w:val="18"/>
        <w:szCs w:val="18"/>
        <w:lang w:val="en-US"/>
      </w:rPr>
      <w:t>5</w:t>
    </w:r>
    <w:r w:rsidRPr="00164F1D">
      <w:rPr>
        <w:noProof/>
        <w:sz w:val="18"/>
        <w:szCs w:val="18"/>
        <w:lang w:val="en-US"/>
      </w:rPr>
      <w:fldChar w:fldCharType="end"/>
    </w:r>
    <w:r w:rsidRPr="00164F1D">
      <w:rPr>
        <w:noProof/>
        <w:sz w:val="18"/>
        <w:szCs w:val="18"/>
        <w:lang w:val="en-US"/>
      </w:rPr>
      <w:t xml:space="preserve">                                               </w:t>
    </w:r>
  </w:p>
  <w:p w14:paraId="31761982" w14:textId="77777777" w:rsidR="00EF22E4" w:rsidRDefault="00EF22E4" w:rsidP="00EF22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6FA6" w14:textId="77777777" w:rsidR="001B2201" w:rsidRDefault="001B2201" w:rsidP="001D3EE1">
      <w:pPr>
        <w:spacing w:after="0" w:line="240" w:lineRule="auto"/>
      </w:pPr>
      <w:r>
        <w:separator/>
      </w:r>
    </w:p>
  </w:footnote>
  <w:footnote w:type="continuationSeparator" w:id="0">
    <w:p w14:paraId="2E780CB1" w14:textId="77777777" w:rsidR="001B2201" w:rsidRDefault="001B2201" w:rsidP="001D3EE1">
      <w:pPr>
        <w:spacing w:after="0" w:line="240" w:lineRule="auto"/>
      </w:pPr>
      <w:r>
        <w:continuationSeparator/>
      </w:r>
    </w:p>
  </w:footnote>
  <w:footnote w:type="continuationNotice" w:id="1">
    <w:p w14:paraId="5DD52FC1" w14:textId="77777777" w:rsidR="001B2201" w:rsidRDefault="001B2201">
      <w:pPr>
        <w:spacing w:after="0" w:line="240" w:lineRule="auto"/>
      </w:pPr>
    </w:p>
  </w:footnote>
  <w:footnote w:id="2">
    <w:p w14:paraId="7FDCB4FE" w14:textId="06810781" w:rsidR="00846700" w:rsidRPr="00846700" w:rsidRDefault="00846700">
      <w:pPr>
        <w:pStyle w:val="FootnoteText"/>
        <w:rPr>
          <w:lang w:val="en-CA"/>
        </w:rPr>
      </w:pPr>
      <w:r w:rsidRPr="00846700">
        <w:rPr>
          <w:rStyle w:val="FootnoteReference"/>
          <w:sz w:val="14"/>
          <w:szCs w:val="14"/>
        </w:rPr>
        <w:footnoteRef/>
      </w:r>
      <w:r w:rsidRPr="00846700">
        <w:rPr>
          <w:sz w:val="14"/>
          <w:szCs w:val="14"/>
        </w:rPr>
        <w:t xml:space="preserve"> </w:t>
      </w:r>
      <w:r w:rsidRPr="00846700">
        <w:rPr>
          <w:color w:val="000000"/>
          <w:sz w:val="14"/>
          <w:szCs w:val="14"/>
          <w:lang w:val="en-US"/>
        </w:rPr>
        <w:t>A registrant is the only entity that is able to request device registration or certificate issuance. They can do this on behalf of a device owner or on their own behalf (if they themselves are device owners).</w:t>
      </w:r>
    </w:p>
  </w:footnote>
  <w:footnote w:id="3">
    <w:p w14:paraId="1989AAD1" w14:textId="48F8FC93" w:rsidR="00846700" w:rsidRPr="00846700" w:rsidRDefault="00846700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  <w:sz w:val="14"/>
          <w:szCs w:val="14"/>
        </w:rPr>
        <w:t xml:space="preserve">A </w:t>
      </w:r>
      <w:r w:rsidRPr="00846700">
        <w:rPr>
          <w:color w:val="000000"/>
          <w:sz w:val="14"/>
          <w:szCs w:val="14"/>
          <w:lang w:val="en-US"/>
        </w:rPr>
        <w:t xml:space="preserve">participant is </w:t>
      </w:r>
      <w:r>
        <w:rPr>
          <w:color w:val="000000"/>
          <w:sz w:val="14"/>
          <w:szCs w:val="14"/>
          <w:lang w:val="en-US"/>
        </w:rPr>
        <w:t>a</w:t>
      </w:r>
      <w:r w:rsidRPr="00846700">
        <w:rPr>
          <w:color w:val="000000"/>
          <w:sz w:val="14"/>
          <w:szCs w:val="14"/>
          <w:lang w:val="en-US"/>
        </w:rPr>
        <w:t xml:space="preserve"> market player, trader or potentially a consumer with an account in </w:t>
      </w:r>
      <w:r>
        <w:rPr>
          <w:color w:val="000000"/>
          <w:sz w:val="14"/>
          <w:szCs w:val="14"/>
          <w:lang w:val="en-US"/>
        </w:rPr>
        <w:t>Evident Registry and can hold, sell, buy, and redeem I-REC(E)s on their on behalf or on behalf of their clients.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0691" w14:textId="623DE90C" w:rsidR="00EF22E4" w:rsidRPr="00EF22E4" w:rsidRDefault="00EF22E4" w:rsidP="00EF22E4">
    <w:pPr>
      <w:pStyle w:val="SoortDocument"/>
      <w:jc w:val="right"/>
      <w:rPr>
        <w:b w:val="0"/>
        <w:bCs/>
        <w:color w:val="1F3864" w:themeColor="accent1" w:themeShade="80"/>
        <w:sz w:val="18"/>
        <w:szCs w:val="22"/>
      </w:rPr>
    </w:pPr>
    <w:r>
      <w:rPr>
        <w:bCs/>
        <w:caps w:val="0"/>
        <w:color w:val="1F3864" w:themeColor="accent1" w:themeShade="80"/>
        <w:sz w:val="18"/>
      </w:rPr>
      <w:t>I-REC STANDARD FOUNDATION</w:t>
    </w:r>
    <w:r w:rsidRPr="00EF22E4">
      <w:rPr>
        <w:bCs/>
        <w:caps w:val="0"/>
        <w:color w:val="1F3864" w:themeColor="accent1" w:themeShade="80"/>
        <w:sz w:val="18"/>
      </w:rPr>
      <w:ptab w:relativeTo="margin" w:alignment="center" w:leader="none"/>
    </w:r>
    <w:r w:rsidRPr="00EF22E4">
      <w:rPr>
        <w:bCs/>
        <w:caps w:val="0"/>
        <w:color w:val="1F3864" w:themeColor="accent1" w:themeShade="80"/>
        <w:sz w:val="18"/>
      </w:rPr>
      <w:ptab w:relativeTo="margin" w:alignment="right" w:leader="none"/>
    </w:r>
    <w:r w:rsidRPr="00EF22E4">
      <w:rPr>
        <w:b w:val="0"/>
        <w:bCs/>
        <w:color w:val="1F3864" w:themeColor="accent1" w:themeShade="80"/>
        <w:sz w:val="18"/>
        <w:szCs w:val="22"/>
      </w:rPr>
      <w:t xml:space="preserve"> Preliminary Report for Platforms and Platform Operators</w:t>
    </w:r>
  </w:p>
  <w:p w14:paraId="5CF8C5CF" w14:textId="4D9B84D1" w:rsidR="00EF22E4" w:rsidRPr="00EF22E4" w:rsidRDefault="00EF22E4" w:rsidP="00EF22E4">
    <w:pPr>
      <w:pStyle w:val="Header"/>
      <w:jc w:val="right"/>
      <w:rPr>
        <w:rFonts w:ascii="Tahoma" w:eastAsia="Times New Roman" w:hAnsi="Tahoma" w:cs="Times New Roman"/>
        <w:bCs/>
        <w:caps/>
        <w:color w:val="1F3864" w:themeColor="accent1" w:themeShade="80"/>
        <w:sz w:val="18"/>
        <w:lang w:val="en-US" w:eastAsia="nl-NL"/>
      </w:rPr>
    </w:pPr>
    <w:r w:rsidRPr="00EF22E4">
      <w:rPr>
        <w:rFonts w:ascii="Tahoma" w:eastAsia="Times New Roman" w:hAnsi="Tahoma" w:cs="Times New Roman"/>
        <w:bCs/>
        <w:caps/>
        <w:color w:val="1F3864" w:themeColor="accent1" w:themeShade="80"/>
        <w:sz w:val="18"/>
        <w:lang w:val="en-US" w:eastAsia="nl-NL"/>
      </w:rPr>
      <w:ptab w:relativeTo="margin" w:alignment="left" w:leader="none"/>
    </w:r>
    <w:r w:rsidR="004013C5">
      <w:rPr>
        <w:rFonts w:ascii="Tahoma" w:eastAsia="Times New Roman" w:hAnsi="Tahoma" w:cs="Times New Roman"/>
        <w:bCs/>
        <w:caps/>
        <w:color w:val="1F3864" w:themeColor="accent1" w:themeShade="80"/>
        <w:sz w:val="18"/>
        <w:lang w:val="en-US" w:eastAsia="nl-NL"/>
      </w:rPr>
      <w:t>october</w:t>
    </w:r>
    <w:r w:rsidRPr="00EF22E4">
      <w:rPr>
        <w:rFonts w:ascii="Tahoma" w:eastAsia="Times New Roman" w:hAnsi="Tahoma" w:cs="Times New Roman"/>
        <w:bCs/>
        <w:caps/>
        <w:color w:val="1F3864" w:themeColor="accent1" w:themeShade="80"/>
        <w:sz w:val="18"/>
        <w:lang w:val="en-US" w:eastAsia="nl-NL"/>
      </w:rPr>
      <w:t xml:space="preserve"> 202</w:t>
    </w:r>
    <w:r w:rsidR="004013C5">
      <w:rPr>
        <w:rFonts w:ascii="Tahoma" w:eastAsia="Times New Roman" w:hAnsi="Tahoma" w:cs="Times New Roman"/>
        <w:bCs/>
        <w:caps/>
        <w:color w:val="1F3864" w:themeColor="accent1" w:themeShade="80"/>
        <w:sz w:val="18"/>
        <w:lang w:val="en-US" w:eastAsia="nl-NL"/>
      </w:rPr>
      <w:t>2</w:t>
    </w:r>
    <w:r w:rsidRPr="00EF22E4">
      <w:rPr>
        <w:rFonts w:ascii="Tahoma" w:eastAsia="Times New Roman" w:hAnsi="Tahoma" w:cs="Times New Roman"/>
        <w:bCs/>
        <w:caps/>
        <w:color w:val="1F3864" w:themeColor="accent1" w:themeShade="80"/>
        <w:sz w:val="18"/>
        <w:lang w:val="en-US" w:eastAsia="nl-NL"/>
      </w:rPr>
      <w:ptab w:relativeTo="margin" w:alignment="left" w:leader="none"/>
    </w:r>
  </w:p>
  <w:p w14:paraId="408471E1" w14:textId="4EC98DEF" w:rsidR="001D3EE1" w:rsidRPr="00EF22E4" w:rsidRDefault="001D3EE1" w:rsidP="00EF22E4">
    <w:pPr>
      <w:pStyle w:val="Header"/>
      <w:jc w:val="right"/>
      <w:rPr>
        <w:rFonts w:ascii="Tahoma" w:eastAsia="Times New Roman" w:hAnsi="Tahoma" w:cs="Times New Roman"/>
        <w:bCs/>
        <w:caps/>
        <w:color w:val="1F3864" w:themeColor="accent1" w:themeShade="80"/>
        <w:sz w:val="18"/>
        <w:lang w:val="en-US"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26EF" w14:textId="799984F2" w:rsidR="00EF22E4" w:rsidRDefault="00EF22E4">
    <w:pPr>
      <w:pStyle w:val="Header"/>
    </w:pPr>
    <w:r>
      <w:rPr>
        <w:noProof/>
      </w:rPr>
      <w:drawing>
        <wp:inline distT="0" distB="0" distL="0" distR="0" wp14:anchorId="118E3054" wp14:editId="09CB98FE">
          <wp:extent cx="3359323" cy="1212912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323" cy="121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7F9"/>
    <w:multiLevelType w:val="multilevel"/>
    <w:tmpl w:val="27DA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32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K0sDAxNTIwMDYwNTdX0lEKTi0uzszPAykwrQUA63se1CwAAAA="/>
  </w:docVars>
  <w:rsids>
    <w:rsidRoot w:val="002636A2"/>
    <w:rsid w:val="00010021"/>
    <w:rsid w:val="00021B88"/>
    <w:rsid w:val="00040CCB"/>
    <w:rsid w:val="0006460C"/>
    <w:rsid w:val="000811B6"/>
    <w:rsid w:val="0009353E"/>
    <w:rsid w:val="000D1D09"/>
    <w:rsid w:val="000F2BC4"/>
    <w:rsid w:val="00132516"/>
    <w:rsid w:val="00132AC9"/>
    <w:rsid w:val="0014040C"/>
    <w:rsid w:val="00142FE3"/>
    <w:rsid w:val="00147022"/>
    <w:rsid w:val="00164F1D"/>
    <w:rsid w:val="0018028D"/>
    <w:rsid w:val="001B2201"/>
    <w:rsid w:val="001B77FA"/>
    <w:rsid w:val="001D3EE1"/>
    <w:rsid w:val="001E2D67"/>
    <w:rsid w:val="00217CE0"/>
    <w:rsid w:val="002300AD"/>
    <w:rsid w:val="00250CFD"/>
    <w:rsid w:val="002562EC"/>
    <w:rsid w:val="00257875"/>
    <w:rsid w:val="002636A2"/>
    <w:rsid w:val="00264871"/>
    <w:rsid w:val="00273B69"/>
    <w:rsid w:val="00277CEA"/>
    <w:rsid w:val="00286D85"/>
    <w:rsid w:val="00286E3E"/>
    <w:rsid w:val="00293B41"/>
    <w:rsid w:val="00294214"/>
    <w:rsid w:val="00295A08"/>
    <w:rsid w:val="002B00D7"/>
    <w:rsid w:val="002B2B48"/>
    <w:rsid w:val="002C4A9C"/>
    <w:rsid w:val="002F6B4A"/>
    <w:rsid w:val="003056B7"/>
    <w:rsid w:val="00312D7B"/>
    <w:rsid w:val="00332387"/>
    <w:rsid w:val="0034048B"/>
    <w:rsid w:val="003625EB"/>
    <w:rsid w:val="00367C0F"/>
    <w:rsid w:val="003768CD"/>
    <w:rsid w:val="00397EF0"/>
    <w:rsid w:val="003A0654"/>
    <w:rsid w:val="003A7B41"/>
    <w:rsid w:val="003D1D24"/>
    <w:rsid w:val="003F4C9E"/>
    <w:rsid w:val="003F651D"/>
    <w:rsid w:val="003F6EF9"/>
    <w:rsid w:val="004013C5"/>
    <w:rsid w:val="004535CB"/>
    <w:rsid w:val="00475C6C"/>
    <w:rsid w:val="00480F32"/>
    <w:rsid w:val="00481AE9"/>
    <w:rsid w:val="00482014"/>
    <w:rsid w:val="004B1E12"/>
    <w:rsid w:val="004E30BE"/>
    <w:rsid w:val="004F042F"/>
    <w:rsid w:val="004F246A"/>
    <w:rsid w:val="004F7EFC"/>
    <w:rsid w:val="005153E6"/>
    <w:rsid w:val="00542299"/>
    <w:rsid w:val="00571D1A"/>
    <w:rsid w:val="00577221"/>
    <w:rsid w:val="0059194B"/>
    <w:rsid w:val="0059332E"/>
    <w:rsid w:val="0060586D"/>
    <w:rsid w:val="006264E4"/>
    <w:rsid w:val="00637BD5"/>
    <w:rsid w:val="0064354E"/>
    <w:rsid w:val="006668AE"/>
    <w:rsid w:val="00672F6B"/>
    <w:rsid w:val="0069123B"/>
    <w:rsid w:val="00692F69"/>
    <w:rsid w:val="006B1A79"/>
    <w:rsid w:val="006B2E2E"/>
    <w:rsid w:val="006C0889"/>
    <w:rsid w:val="006E0683"/>
    <w:rsid w:val="006E5625"/>
    <w:rsid w:val="006F33BA"/>
    <w:rsid w:val="007206CA"/>
    <w:rsid w:val="007351CD"/>
    <w:rsid w:val="00736660"/>
    <w:rsid w:val="007430D2"/>
    <w:rsid w:val="0079384F"/>
    <w:rsid w:val="007945D4"/>
    <w:rsid w:val="007E1A0B"/>
    <w:rsid w:val="007F0A7E"/>
    <w:rsid w:val="0080179A"/>
    <w:rsid w:val="0082173D"/>
    <w:rsid w:val="008234E5"/>
    <w:rsid w:val="00826E1B"/>
    <w:rsid w:val="00834A9C"/>
    <w:rsid w:val="00846700"/>
    <w:rsid w:val="008545D6"/>
    <w:rsid w:val="00872970"/>
    <w:rsid w:val="008738EA"/>
    <w:rsid w:val="00875AEC"/>
    <w:rsid w:val="00876D07"/>
    <w:rsid w:val="00892935"/>
    <w:rsid w:val="008A6816"/>
    <w:rsid w:val="008B2F8A"/>
    <w:rsid w:val="008B4E88"/>
    <w:rsid w:val="008D070C"/>
    <w:rsid w:val="008D7D8F"/>
    <w:rsid w:val="008E44ED"/>
    <w:rsid w:val="008F1003"/>
    <w:rsid w:val="00900B54"/>
    <w:rsid w:val="009376E5"/>
    <w:rsid w:val="009545F6"/>
    <w:rsid w:val="00964C42"/>
    <w:rsid w:val="0096655B"/>
    <w:rsid w:val="009733CD"/>
    <w:rsid w:val="0097384B"/>
    <w:rsid w:val="009E2A99"/>
    <w:rsid w:val="00A23272"/>
    <w:rsid w:val="00A76578"/>
    <w:rsid w:val="00AC5F87"/>
    <w:rsid w:val="00B07130"/>
    <w:rsid w:val="00B425F0"/>
    <w:rsid w:val="00B458B2"/>
    <w:rsid w:val="00B639C7"/>
    <w:rsid w:val="00B769AF"/>
    <w:rsid w:val="00BA74E9"/>
    <w:rsid w:val="00BC7793"/>
    <w:rsid w:val="00C00060"/>
    <w:rsid w:val="00C063C8"/>
    <w:rsid w:val="00C237D9"/>
    <w:rsid w:val="00C26DB3"/>
    <w:rsid w:val="00C35A36"/>
    <w:rsid w:val="00C8554D"/>
    <w:rsid w:val="00C877F1"/>
    <w:rsid w:val="00CA20FC"/>
    <w:rsid w:val="00CA6D49"/>
    <w:rsid w:val="00CA7523"/>
    <w:rsid w:val="00CB00F8"/>
    <w:rsid w:val="00CB4514"/>
    <w:rsid w:val="00CC1FFC"/>
    <w:rsid w:val="00CC7287"/>
    <w:rsid w:val="00CC7726"/>
    <w:rsid w:val="00CE2AD1"/>
    <w:rsid w:val="00D0370A"/>
    <w:rsid w:val="00D17BC4"/>
    <w:rsid w:val="00D549AC"/>
    <w:rsid w:val="00D61A98"/>
    <w:rsid w:val="00DB6526"/>
    <w:rsid w:val="00DC0594"/>
    <w:rsid w:val="00DE228F"/>
    <w:rsid w:val="00DF2553"/>
    <w:rsid w:val="00E27C68"/>
    <w:rsid w:val="00E63BFE"/>
    <w:rsid w:val="00E6485B"/>
    <w:rsid w:val="00E96ED7"/>
    <w:rsid w:val="00EA2BE7"/>
    <w:rsid w:val="00EB0BED"/>
    <w:rsid w:val="00ED6610"/>
    <w:rsid w:val="00EE5F56"/>
    <w:rsid w:val="00EF22E4"/>
    <w:rsid w:val="00EF686D"/>
    <w:rsid w:val="00F224B8"/>
    <w:rsid w:val="00F26955"/>
    <w:rsid w:val="00F3744D"/>
    <w:rsid w:val="00F5376C"/>
    <w:rsid w:val="00F63BF9"/>
    <w:rsid w:val="00F71830"/>
    <w:rsid w:val="00F72F82"/>
    <w:rsid w:val="00F84E7A"/>
    <w:rsid w:val="00F933E7"/>
    <w:rsid w:val="00F950D8"/>
    <w:rsid w:val="00FC7BFA"/>
    <w:rsid w:val="00FD15D1"/>
    <w:rsid w:val="00FD1F57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521E3"/>
  <w15:chartTrackingRefBased/>
  <w15:docId w15:val="{0DA64F79-66D5-42CF-854C-F6C0912C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55"/>
  </w:style>
  <w:style w:type="paragraph" w:styleId="Heading1">
    <w:name w:val="heading 1"/>
    <w:basedOn w:val="Normal"/>
    <w:next w:val="Normal"/>
    <w:link w:val="Heading1Char"/>
    <w:uiPriority w:val="9"/>
    <w:qFormat/>
    <w:rsid w:val="003A0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636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0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65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3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E1"/>
  </w:style>
  <w:style w:type="paragraph" w:styleId="Footer">
    <w:name w:val="footer"/>
    <w:basedOn w:val="Normal"/>
    <w:link w:val="FooterChar"/>
    <w:unhideWhenUsed/>
    <w:rsid w:val="001D3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3EE1"/>
  </w:style>
  <w:style w:type="paragraph" w:customStyle="1" w:styleId="SoortDocument">
    <w:name w:val="SoortDocument"/>
    <w:basedOn w:val="Normal"/>
    <w:qFormat/>
    <w:rsid w:val="00EF22E4"/>
    <w:pPr>
      <w:spacing w:after="0" w:line="270" w:lineRule="exact"/>
    </w:pPr>
    <w:rPr>
      <w:rFonts w:ascii="Tahoma" w:eastAsia="Times New Roman" w:hAnsi="Tahoma" w:cs="Times New Roman"/>
      <w:b/>
      <w:caps/>
      <w:color w:val="7594A9"/>
      <w:sz w:val="20"/>
      <w:szCs w:val="24"/>
      <w:lang w:val="en-US" w:eastAsia="nl-NL"/>
    </w:rPr>
  </w:style>
  <w:style w:type="paragraph" w:customStyle="1" w:styleId="Invultekst">
    <w:name w:val="Invultekst"/>
    <w:basedOn w:val="Normal"/>
    <w:rsid w:val="00EF22E4"/>
    <w:pPr>
      <w:spacing w:after="0" w:line="270" w:lineRule="exact"/>
    </w:pPr>
    <w:rPr>
      <w:rFonts w:ascii="Tahoma" w:eastAsia="Times New Roman" w:hAnsi="Tahoma" w:cs="Times New Roman"/>
      <w:sz w:val="20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4F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2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69A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6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iat@irecstandard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A96AC48A344549581C12B9E334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F872-06E4-41EB-87AA-27A7E85E0F2F}"/>
      </w:docPartPr>
      <w:docPartBody>
        <w:p w:rsidR="00F93CE0" w:rsidRDefault="00874204" w:rsidP="00874204">
          <w:pPr>
            <w:pStyle w:val="660A96AC48A344549581C12B9E334D69"/>
          </w:pPr>
          <w:r w:rsidRPr="00F312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3D"/>
    <w:rsid w:val="003363C3"/>
    <w:rsid w:val="00355E26"/>
    <w:rsid w:val="003C0CFB"/>
    <w:rsid w:val="003D6066"/>
    <w:rsid w:val="004307C0"/>
    <w:rsid w:val="005028BA"/>
    <w:rsid w:val="005E6834"/>
    <w:rsid w:val="00684BA9"/>
    <w:rsid w:val="006C6620"/>
    <w:rsid w:val="006E48EA"/>
    <w:rsid w:val="0084733D"/>
    <w:rsid w:val="00863FF1"/>
    <w:rsid w:val="00874204"/>
    <w:rsid w:val="00EF6D3D"/>
    <w:rsid w:val="00F61574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BA9"/>
    <w:rPr>
      <w:color w:val="808080"/>
    </w:rPr>
  </w:style>
  <w:style w:type="paragraph" w:customStyle="1" w:styleId="660A96AC48A344549581C12B9E334D69">
    <w:name w:val="660A96AC48A344549581C12B9E334D69"/>
    <w:rsid w:val="0087420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CB0FAB110184BAA7CCB9105B78E9C" ma:contentTypeVersion="271" ma:contentTypeDescription="Create a new document." ma:contentTypeScope="" ma:versionID="e8be825cc4ff8c3bba70698143f02f2d">
  <xsd:schema xmlns:xsd="http://www.w3.org/2001/XMLSchema" xmlns:xs="http://www.w3.org/2001/XMLSchema" xmlns:p="http://schemas.microsoft.com/office/2006/metadata/properties" xmlns:ns2="e59c3593-92c4-4f8d-a2da-498fb056435b" xmlns:ns3="675b7a2d-2834-4b0a-907a-9b83c9357b52" targetNamespace="http://schemas.microsoft.com/office/2006/metadata/properties" ma:root="true" ma:fieldsID="2dcfb50fbf2de4139af071e745b0e5de" ns2:_="" ns3:_="">
    <xsd:import namespace="e59c3593-92c4-4f8d-a2da-498fb056435b"/>
    <xsd:import namespace="675b7a2d-2834-4b0a-907a-9b83c9357b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c3593-92c4-4f8d-a2da-498fb05643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d40336-fce2-423c-91f0-2bc67382f994}" ma:internalName="TaxCatchAll" ma:showField="CatchAllData" ma:web="e59c3593-92c4-4f8d-a2da-498fb0564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b7a2d-2834-4b0a-907a-9b83c935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c6b3bd-d3e6-45db-b6bc-7b10bd7bb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9c3593-92c4-4f8d-a2da-498fb056435b">JVJDJ57QJCRW-1086611128-8732</_dlc_DocId>
    <_dlc_DocIdUrl xmlns="e59c3593-92c4-4f8d-a2da-498fb056435b">
      <Url>https://cie365advisors.sharepoint.com/sites/cie-data/_layouts/15/DocIdRedir.aspx?ID=JVJDJ57QJCRW-1086611128-8732</Url>
      <Description>JVJDJ57QJCRW-1086611128-8732</Description>
    </_dlc_DocIdUrl>
    <TaxCatchAll xmlns="e59c3593-92c4-4f8d-a2da-498fb056435b" xsi:nil="true"/>
    <lcf76f155ced4ddcb4097134ff3c332f xmlns="675b7a2d-2834-4b0a-907a-9b83c9357b5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5240-2665-44F2-ABDD-1A69780C1296}"/>
</file>

<file path=customXml/itemProps2.xml><?xml version="1.0" encoding="utf-8"?>
<ds:datastoreItem xmlns:ds="http://schemas.openxmlformats.org/officeDocument/2006/customXml" ds:itemID="{E7908E1F-69E1-46BB-884D-F2BBD8502A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0C803A-BF00-473E-9AEC-4E88169CA7DC}">
  <ds:schemaRefs>
    <ds:schemaRef ds:uri="http://schemas.microsoft.com/office/2006/metadata/properties"/>
    <ds:schemaRef ds:uri="http://schemas.microsoft.com/office/infopath/2007/PartnerControls"/>
    <ds:schemaRef ds:uri="e59c3593-92c4-4f8d-a2da-498fb056435b"/>
    <ds:schemaRef ds:uri="675b7a2d-2834-4b0a-907a-9b83c9357b52"/>
  </ds:schemaRefs>
</ds:datastoreItem>
</file>

<file path=customXml/itemProps4.xml><?xml version="1.0" encoding="utf-8"?>
<ds:datastoreItem xmlns:ds="http://schemas.openxmlformats.org/officeDocument/2006/customXml" ds:itemID="{08876385-89CF-43F0-8618-CFF6079DDB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2B9FBC-8C66-4F2B-85DE-3B903B44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Kay Srebnicki | I-REC Standard</dc:creator>
  <cp:keywords/>
  <dc:description/>
  <cp:lastModifiedBy>Jos Tuinenburg | Choice in Energy</cp:lastModifiedBy>
  <cp:revision>3</cp:revision>
  <dcterms:created xsi:type="dcterms:W3CDTF">2023-04-06T08:42:00Z</dcterms:created>
  <dcterms:modified xsi:type="dcterms:W3CDTF">2023-04-06T08:44:00Z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0x010100F42CB0FAB110184BAA7CCB9105B78E9C</vt:lpwstr>
  </property>
  <property fmtid="{D5CDD505-2E9C-101B-9397-08002B2CF9AE}" pid="3" name="_dlc_DocIdItemGuid">
    <vt:lpwstr>ea7ccb36-be6c-4123-87d1-e25b0b3c84be</vt:lpwstr>
  </property>
  <property fmtid="{D5CDD505-2E9C-101B-9397-08002B2CF9AE}" pid="4" name="MediaServiceImageTags">
    <vt:lpwstr/>
  </property>
</Properties>
</file>